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00"/>
      </w:pPr>
      <w:r>
        <w:rPr>
          <w:rFonts w:ascii="Arial" w:cs="Arial" w:eastAsia="Arial" w:hAnsi="Arial"/>
          <w:b/>
          <w:bCs/>
          <w:color w:val="1C1B19"/>
          <w:sz w:val="34"/>
          <w:szCs w:val="34"/>
        </w:rPr>
        <w:t xml:space="preserve">The temperature layer for the physical world.</w:t>
      </w:r>
    </w:p>
    <w:p>
      <w:pPr>
        <w:spacing w:after="200" w:line="276"/>
      </w:pPr>
      <w:r>
        <w:rPr>
          <w:rFonts w:ascii="Arial" w:cs="Arial" w:eastAsia="Arial" w:hAnsi="Arial"/>
          <w:color w:val="44403A"/>
          <w:sz w:val="20"/>
          <w:szCs w:val="20"/>
        </w:rPr>
        <w:t xml:space="preserve">Before you leave home, you check the weather. You should be able to check the temperature </w:t>
      </w:r>
      <w:r>
        <w:rPr>
          <w:rFonts w:ascii="Arial" w:cs="Arial" w:eastAsia="Arial" w:hAnsi="Arial"/>
          <w:i/>
          <w:iCs/>
          <w:color w:val="1C1B19"/>
          <w:sz w:val="20"/>
          <w:szCs w:val="20"/>
        </w:rPr>
        <w:t xml:space="preserve">inside</w:t>
      </w:r>
      <w:r>
        <w:rPr>
          <w:rFonts w:ascii="Arial" w:cs="Arial" w:eastAsia="Arial" w:hAnsi="Arial"/>
          <w:color w:val="44403A"/>
          <w:sz w:val="22"/>
          <w:szCs w:val="22"/>
        </w:rPr>
        <w:t xml:space="preserve"> the place you’re going — the theater, the concert hall, the restaurant. WhatTemp makes the indoor climate of every public space a searchable, trustworthy data point.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12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B5722B"/>
                <w:spacing w:val="12"/>
                <w:sz w:val="17"/>
                <w:szCs w:val="17"/>
              </w:rPr>
              <w:t xml:space="preserve">THE PROBLEM</w:t>
            </w:r>
          </w:p>
          <w:p>
            <w:pPr>
              <w:spacing w:after="40" w:line="264"/>
            </w:pP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Indoor temperature is the most-felt, least-published fact about a venue. “Bring a sweater” is folklore, not data. No one owns the answer — so no one can show it to you at the moment you’re deciding what to wear.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12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B5722B"/>
                <w:spacing w:val="12"/>
                <w:sz w:val="17"/>
                <w:szCs w:val="17"/>
              </w:rPr>
              <w:t xml:space="preserve">THE PRODUCT</w:t>
            </w:r>
          </w:p>
          <w:p>
            <w:pPr>
              <w:spacing w:after="40" w:line="264"/>
            </w:pP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A free consumer app that geolocates you and shows nearby venues’ live indoor temps with a plain-language verdict — plus the same reading surfaced inside Google, Maps, and any geo search via a structured “Indoor temperature” field.</w:t>
            </w:r>
          </w:p>
        </w:tc>
      </w:tr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12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B5722B"/>
                <w:spacing w:val="12"/>
                <w:sz w:val="17"/>
                <w:szCs w:val="17"/>
              </w:rPr>
              <w:t xml:space="preserve">WHY NOW</w:t>
            </w:r>
          </w:p>
          <w:p>
            <w:pPr>
              <w:spacing w:after="40" w:line="264"/>
            </w:pP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Connected thermostats (Nest, ecobee, Honeywell, SmartThings) now sit in a majority of commercial spaces and expose official read-only APIs. The sensors already exist and are already online. The missing piece is a neutral layer that aggregates and publishes them.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12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B5722B"/>
                <w:spacing w:val="12"/>
                <w:sz w:val="17"/>
                <w:szCs w:val="17"/>
              </w:rPr>
              <w:t xml:space="preserve">THE WEDGE</w:t>
            </w:r>
          </w:p>
          <w:p>
            <w:pPr>
              <w:spacing w:after="40" w:line="264"/>
            </w:pP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One dense metro, and the venue categories where temperature actually changes the decision — cinemas, theaters, gyms, houses of worship, museums. Crowd reports and an estimate model give day-one coverage; connected thermostats convert it to verified.</w:t>
            </w:r>
          </w:p>
        </w:tc>
      </w:tr>
    </w:tbl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0"/>
      </w:tblGrid>
      <w:tr>
        <w:tc>
          <w:tcPr>
            <w:tcW w:type="dxa" w:w="10080"/>
            <w:tcBorders>
              <w:top w:val="none"/>
              <w:left w:val="none"/>
              <w:bottom w:val="none"/>
              <w:right w:val="none"/>
            </w:tcBorders>
            <w:shd w:fill="F4F0E8" w:val="clear"/>
            <w:tcMar>
              <w:top w:type="dxa" w:w="200"/>
              <w:left w:type="dxa" w:w="260"/>
              <w:bottom w:type="dxa" w:w="160"/>
              <w:right w:type="dxa" w:w="260"/>
            </w:tcMar>
          </w:tcPr>
          <w:p>
            <w:pPr>
              <w:spacing w:after="140"/>
            </w:pPr>
            <w:r>
              <w:rPr>
                <w:rFonts w:ascii="Arial" w:cs="Arial" w:eastAsia="Arial" w:hAnsi="Arial"/>
                <w:b/>
                <w:bCs/>
                <w:color w:val="1C1B19"/>
                <w:spacing w:val="10"/>
                <w:sz w:val="18"/>
                <w:szCs w:val="18"/>
              </w:rPr>
              <w:t xml:space="preserve">THE DEFENSIBLE IP — WHAT IS GENUINELY OURS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 w:line="252"/>
            </w:pPr>
            <w:r>
              <w:rPr>
                <w:rFonts w:ascii="Arial" w:cs="Arial" w:eastAsia="Arial" w:hAnsi="Arial"/>
                <w:b/>
                <w:bCs/>
                <w:color w:val="1C1B19"/>
                <w:sz w:val="20"/>
                <w:szCs w:val="20"/>
              </w:rPr>
              <w:t xml:space="preserve">The cross-vendor aggregation layer. 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One normalized reading out of many incompatible thermostat APIs. “One toggle, public everywhere.” No single thermostat maker has the incentive — or the neutrality — to build across all of them.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 w:line="252"/>
            </w:pPr>
            <w:r>
              <w:rPr>
                <w:rFonts w:ascii="Arial" w:cs="Arial" w:eastAsia="Arial" w:hAnsi="Arial"/>
                <w:b/>
                <w:bCs/>
                <w:color w:val="1C1B19"/>
                <w:sz w:val="20"/>
                <w:szCs w:val="20"/>
              </w:rPr>
              <w:t xml:space="preserve">The “Indoor Temperature” schema &amp; the canonical dataset behind it. 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Define the structured format search engines ingest, and own the verified data that fills it. Own the standard, own the category.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 w:line="252"/>
            </w:pPr>
            <w:r>
              <w:rPr>
                <w:rFonts w:ascii="Arial" w:cs="Arial" w:eastAsia="Arial" w:hAnsi="Arial"/>
                <w:b/>
                <w:bCs/>
                <w:color w:val="1C1B19"/>
                <w:sz w:val="20"/>
                <w:szCs w:val="20"/>
              </w:rPr>
              <w:t xml:space="preserve">Confidence &amp; verification scoring. 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Sensor vs. crowd vs. estimate, scored for trust — the credibility that makes a platform willing to display the number.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 w:line="252"/>
            </w:pPr>
            <w:r>
              <w:rPr>
                <w:rFonts w:ascii="Arial" w:cs="Arial" w:eastAsia="Arial" w:hAnsi="Arial"/>
                <w:b/>
                <w:bCs/>
                <w:color w:val="1C1B19"/>
                <w:sz w:val="20"/>
                <w:szCs w:val="20"/>
              </w:rPr>
              <w:t xml:space="preserve">The indoor-comfort estimate model. 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Predict a venue’s temperature from type, outdoor weather, occupancy, and time. Solves cold-start and gives coverage everywhere a sensor isn’t.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12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B5722B"/>
                <w:spacing w:val="12"/>
                <w:sz w:val="17"/>
                <w:szCs w:val="17"/>
              </w:rPr>
              <w:t xml:space="preserve">BUSINESS MODEL</w:t>
            </w:r>
          </w:p>
          <w:p>
            <w:pPr>
              <w:spacing w:after="40" w:line="264"/>
            </w:pPr>
            <w:r>
              <w:rPr>
                <w:rFonts w:ascii="Arial" w:cs="Arial" w:eastAsia="Arial" w:hAnsi="Arial"/>
                <w:b/>
                <w:bCs/>
                <w:color w:val="1C1B19"/>
                <w:sz w:val="20"/>
                <w:szCs w:val="20"/>
              </w:rPr>
              <w:t xml:space="preserve">Free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 for consumers — and free for venues to publish, because coverage </w:t>
            </w:r>
            <w:r>
              <w:rPr>
                <w:rFonts w:ascii="Arial" w:cs="Arial" w:eastAsia="Arial" w:hAnsi="Arial"/>
                <w:i/>
                <w:iCs/>
                <w:color w:val="1C1B19"/>
                <w:sz w:val="20"/>
                <w:szCs w:val="20"/>
              </w:rPr>
              <w:t xml:space="preserve">is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 the asset. Revenue from a </w:t>
            </w:r>
            <w:r>
              <w:rPr>
                <w:rFonts w:ascii="Arial" w:cs="Arial" w:eastAsia="Arial" w:hAnsi="Arial"/>
                <w:b/>
                <w:bCs/>
                <w:color w:val="1C1B19"/>
                <w:sz w:val="20"/>
                <w:szCs w:val="20"/>
              </w:rPr>
              <w:t xml:space="preserve">$9/mo Pro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 tier, the </w:t>
            </w:r>
            <w:r>
              <w:rPr>
                <w:rFonts w:ascii="Arial" w:cs="Arial" w:eastAsia="Arial" w:hAnsi="Arial"/>
                <w:b/>
                <w:bCs/>
                <w:color w:val="1C1B19"/>
                <w:sz w:val="20"/>
                <w:szCs w:val="20"/>
              </w:rPr>
              <w:t xml:space="preserve">$29 WhatTemp Sensor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 (hardware for spaces without a smart thermostat — and a fully-owned data source with no third-party strings), a </w:t>
            </w:r>
            <w:r>
              <w:rPr>
                <w:rFonts w:ascii="Arial" w:cs="Arial" w:eastAsia="Arial" w:hAnsi="Arial"/>
                <w:b/>
                <w:bCs/>
                <w:color w:val="1C1B19"/>
                <w:sz w:val="20"/>
                <w:szCs w:val="20"/>
              </w:rPr>
              <w:t xml:space="preserve">licensed API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 for maps &amp; search, and </w:t>
            </w:r>
            <w:r>
              <w:rPr>
                <w:rFonts w:ascii="Arial" w:cs="Arial" w:eastAsia="Arial" w:hAnsi="Arial"/>
                <w:b/>
                <w:bCs/>
                <w:color w:val="1C1B19"/>
                <w:sz w:val="20"/>
                <w:szCs w:val="20"/>
              </w:rPr>
              <w:t xml:space="preserve">anonymized comfort analytics</w:t>
            </w: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 for chains.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12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B5722B"/>
                <w:spacing w:val="12"/>
                <w:sz w:val="17"/>
                <w:szCs w:val="17"/>
              </w:rPr>
              <w:t xml:space="preserve">WHY NOT GATE PUBLISHING</w:t>
            </w:r>
          </w:p>
          <w:p>
            <w:pPr>
              <w:spacing w:after="40" w:line="264"/>
            </w:pP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Charging to publish would throttle the one metric that makes the company valuable and acquirable: density. Maximize coverage; monetize the extras and the data pipe.</w:t>
            </w:r>
          </w:p>
        </w:tc>
      </w:tr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12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B5722B"/>
                <w:spacing w:val="12"/>
                <w:sz w:val="17"/>
                <w:szCs w:val="17"/>
              </w:rPr>
              <w:t xml:space="preserve">DISTRIBUTION</w:t>
            </w:r>
          </w:p>
          <w:p>
            <w:pPr>
              <w:spacing w:after="40" w:line="264"/>
            </w:pP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The ambient surface compounds: every venue that opts in adds an SEO-rich “indoor temperature” result that points back to WhatTemp — a flywheel of free discovery on Google and Maps.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12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B5722B"/>
                <w:spacing w:val="12"/>
                <w:sz w:val="17"/>
                <w:szCs w:val="17"/>
              </w:rPr>
              <w:t xml:space="preserve">THE EXIT</w:t>
            </w:r>
          </w:p>
          <w:p>
            <w:pPr>
              <w:spacing w:after="40" w:line="264"/>
            </w:pPr>
            <w:r>
              <w:rPr>
                <w:rFonts w:ascii="Arial" w:cs="Arial" w:eastAsia="Arial" w:hAnsi="Arial"/>
                <w:color w:val="44403A"/>
                <w:sz w:val="20"/>
                <w:szCs w:val="20"/>
              </w:rPr>
              <w:t xml:space="preserve">Whoever owns local discovery (Google / Maps), or the thermostats themselves (Nest / ecobee), needs this layer and won’t build it neutrally. Own the cross-vendor pipe and the standard first; that is the position that gets acquired — not licensed around.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10080"/>
      </w:tabs>
    </w:pPr>
    <w:r>
      <w:rPr>
        <w:rFonts w:ascii="Arial" w:cs="Arial" w:eastAsia="Arial" w:hAnsi="Arial"/>
        <w:color w:val="6B665E"/>
        <w:sz w:val="15"/>
        <w:szCs w:val="15"/>
      </w:rPr>
      <w:t xml:space="preserve">WhatTemp · Confidential · Figures illustrative</w:t>
    </w:r>
    <w:r>
      <w:rPr>
        <w:rFonts w:ascii="Arial" w:cs="Arial" w:eastAsia="Arial" w:hAnsi="Arial"/>
        <w:color w:val="6B665E"/>
        <w:sz w:val="15"/>
        <w:szCs w:val="15"/>
      </w:rPr>
      <w:t xml:space="preserve">	whattemp.app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DDD3" w:sz="6" w:space="8"/>
      </w:pBdr>
      <w:tabs>
        <w:tab w:val="right" w:pos="10080"/>
      </w:tabs>
    </w:pPr>
    <w:r>
      <w:rPr>
        <w:rFonts w:ascii="Arial" w:cs="Arial" w:eastAsia="Arial" w:hAnsi="Arial"/>
        <w:b/>
        <w:bCs/>
        <w:color w:val="1C1B19"/>
        <w:sz w:val="24"/>
        <w:szCs w:val="24"/>
      </w:rPr>
      <w:t xml:space="preserve">What</w:t>
    </w:r>
    <w:r>
      <w:rPr>
        <w:rFonts w:ascii="Arial" w:cs="Arial" w:eastAsia="Arial" w:hAnsi="Arial"/>
        <w:b/>
        <w:bCs/>
        <w:color w:val="3B82A6"/>
        <w:sz w:val="24"/>
        <w:szCs w:val="24"/>
      </w:rPr>
      <w:t xml:space="preserve">T</w:t>
    </w:r>
    <w:r>
      <w:rPr>
        <w:rFonts w:ascii="Arial" w:cs="Arial" w:eastAsia="Arial" w:hAnsi="Arial"/>
        <w:b/>
        <w:bCs/>
        <w:color w:val="4F9E86"/>
        <w:sz w:val="24"/>
        <w:szCs w:val="24"/>
      </w:rPr>
      <w:t xml:space="preserve">e</w:t>
    </w:r>
    <w:r>
      <w:rPr>
        <w:rFonts w:ascii="Arial" w:cs="Arial" w:eastAsia="Arial" w:hAnsi="Arial"/>
        <w:b/>
        <w:bCs/>
        <w:color w:val="D98A3D"/>
        <w:sz w:val="24"/>
        <w:szCs w:val="24"/>
      </w:rPr>
      <w:t xml:space="preserve">m</w:t>
    </w:r>
    <w:r>
      <w:rPr>
        <w:rFonts w:ascii="Arial" w:cs="Arial" w:eastAsia="Arial" w:hAnsi="Arial"/>
        <w:b/>
        <w:bCs/>
        <w:color w:val="C4583A"/>
        <w:sz w:val="24"/>
        <w:szCs w:val="24"/>
      </w:rPr>
      <w:t xml:space="preserve">p</w:t>
    </w:r>
    <w:r>
      <w:rPr>
        <w:rFonts w:ascii="Arial" w:cs="Arial" w:eastAsia="Arial" w:hAnsi="Arial"/>
        <w:color w:val="6B665E"/>
        <w:spacing w:val="10"/>
        <w:sz w:val="15"/>
        <w:szCs w:val="15"/>
      </w:rPr>
      <w:t xml:space="preserve">	STRATEGY &amp; IP BRIEF ·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300"/>
      </w:pPr>
      <w:rPr>
        <w:b/>
        <w:bCs/>
        <w:color w:val="1C1B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C1B1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2026-06-12T21:54:13.624Z</dcterms:created>
  <dcterms:modified xsi:type="dcterms:W3CDTF">2026-06-12T21:54:13.626Z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